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附件1</w:t>
      </w:r>
    </w:p>
    <w:p>
      <w:pPr>
        <w:spacing w:line="560" w:lineRule="exact"/>
        <w:jc w:val="center"/>
        <w:rPr>
          <w:rFonts w:hint="eastAsia" w:ascii="方正小标宋简体" w:eastAsia="方正小标宋简体"/>
          <w:spacing w:val="4"/>
          <w:sz w:val="36"/>
          <w:szCs w:val="36"/>
        </w:rPr>
      </w:pPr>
      <w:bookmarkStart w:id="0" w:name="_GoBack"/>
      <w:r>
        <w:rPr>
          <w:rFonts w:hint="eastAsia" w:ascii="方正小标宋简体" w:eastAsia="方正小标宋简体"/>
          <w:spacing w:val="4"/>
          <w:sz w:val="36"/>
          <w:szCs w:val="36"/>
        </w:rPr>
        <w:t>2021年全省统计研究结项项目</w:t>
      </w:r>
    </w:p>
    <w:bookmarkEnd w:id="0"/>
    <w:tbl>
      <w:tblPr>
        <w:tblStyle w:val="5"/>
        <w:tblW w:w="9749" w:type="dxa"/>
        <w:tblInd w:w="-176" w:type="dxa"/>
        <w:tblLayout w:type="fixed"/>
        <w:tblCellMar>
          <w:top w:w="0" w:type="dxa"/>
          <w:left w:w="108" w:type="dxa"/>
          <w:bottom w:w="0" w:type="dxa"/>
          <w:right w:w="108" w:type="dxa"/>
        </w:tblCellMar>
      </w:tblPr>
      <w:tblGrid>
        <w:gridCol w:w="1366"/>
        <w:gridCol w:w="4598"/>
        <w:gridCol w:w="1131"/>
        <w:gridCol w:w="2654"/>
      </w:tblGrid>
      <w:tr>
        <w:tblPrEx>
          <w:tblLayout w:type="fixed"/>
          <w:tblCellMar>
            <w:top w:w="0" w:type="dxa"/>
            <w:left w:w="108" w:type="dxa"/>
            <w:bottom w:w="0" w:type="dxa"/>
            <w:right w:w="108" w:type="dxa"/>
          </w:tblCellMar>
        </w:tblPrEx>
        <w:trPr>
          <w:cantSplit/>
          <w:trHeight w:val="567" w:hRule="atLeast"/>
          <w:tblHeader/>
        </w:trPr>
        <w:tc>
          <w:tcPr>
            <w:tcW w:w="1366"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编号</w:t>
            </w:r>
          </w:p>
        </w:tc>
        <w:tc>
          <w:tcPr>
            <w:tcW w:w="4598"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项目名称</w:t>
            </w:r>
          </w:p>
        </w:tc>
        <w:tc>
          <w:tcPr>
            <w:tcW w:w="1131"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_GB2312" w:eastAsia="仿宋_GB2312"/>
                <w:b/>
                <w:kern w:val="0"/>
                <w:sz w:val="28"/>
                <w:szCs w:val="28"/>
              </w:rPr>
            </w:pPr>
            <w:r>
              <w:rPr>
                <w:rFonts w:hint="eastAsia" w:ascii="仿宋_GB2312" w:eastAsia="仿宋_GB2312"/>
                <w:b/>
                <w:kern w:val="0"/>
                <w:sz w:val="28"/>
                <w:szCs w:val="28"/>
              </w:rPr>
              <w:t>项目</w:t>
            </w:r>
          </w:p>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负责人</w:t>
            </w:r>
          </w:p>
        </w:tc>
        <w:tc>
          <w:tcPr>
            <w:tcW w:w="2654"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单 位</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一、统计重大研究项目</w:t>
            </w:r>
          </w:p>
        </w:tc>
      </w:tr>
      <w:tr>
        <w:tblPrEx>
          <w:tblLayout w:type="fixed"/>
          <w:tblCellMar>
            <w:top w:w="0" w:type="dxa"/>
            <w:left w:w="108" w:type="dxa"/>
            <w:bottom w:w="0" w:type="dxa"/>
            <w:right w:w="108" w:type="dxa"/>
          </w:tblCellMar>
        </w:tblPrEx>
        <w:trPr>
          <w:trHeight w:val="567" w:hRule="atLeast"/>
        </w:trPr>
        <w:tc>
          <w:tcPr>
            <w:tcW w:w="9749" w:type="dxa"/>
            <w:gridSpan w:val="4"/>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黑体" w:eastAsia="黑体"/>
                <w:sz w:val="32"/>
                <w:szCs w:val="32"/>
              </w:rPr>
              <w:t>优秀奖</w:t>
            </w:r>
          </w:p>
        </w:tc>
      </w:tr>
      <w:tr>
        <w:tblPrEx>
          <w:tblLayout w:type="fixed"/>
          <w:tblCellMar>
            <w:top w:w="0" w:type="dxa"/>
            <w:left w:w="108" w:type="dxa"/>
            <w:bottom w:w="0" w:type="dxa"/>
            <w:right w:w="108" w:type="dxa"/>
          </w:tblCellMar>
        </w:tblPrEx>
        <w:trPr>
          <w:trHeight w:val="76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20TJZD03</w:t>
            </w:r>
          </w:p>
        </w:tc>
        <w:tc>
          <w:tcPr>
            <w:tcW w:w="4598" w:type="dxa"/>
            <w:tcBorders>
              <w:top w:val="nil"/>
              <w:left w:val="nil"/>
              <w:bottom w:val="single" w:color="auto" w:sz="4" w:space="0"/>
              <w:right w:val="single" w:color="auto" w:sz="4" w:space="0"/>
            </w:tcBorders>
            <w:vAlign w:val="center"/>
          </w:tcPr>
          <w:p>
            <w:pPr>
              <w:widowControl/>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变权综合评价方法及其应用</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  骥</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567"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_GB2312" w:hAnsi="宋体" w:eastAsia="仿宋_GB2312" w:cs="仿宋_GB2312"/>
                <w:color w:val="000000"/>
                <w:kern w:val="0"/>
                <w:sz w:val="28"/>
                <w:szCs w:val="28"/>
                <w:lang w:bidi="ar"/>
              </w:rPr>
              <w:t>20TJZD04</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高质量发展视域下新能源汽车产业政策效应仿真模拟与测度研究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周银香</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567" w:hRule="atLeast"/>
        </w:trPr>
        <w:tc>
          <w:tcPr>
            <w:tcW w:w="9749" w:type="dxa"/>
            <w:gridSpan w:val="4"/>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黑体" w:eastAsia="黑体"/>
                <w:sz w:val="32"/>
                <w:szCs w:val="32"/>
              </w:rPr>
              <w:t>结项</w:t>
            </w:r>
          </w:p>
        </w:tc>
      </w:tr>
      <w:tr>
        <w:tblPrEx>
          <w:tblLayout w:type="fixed"/>
          <w:tblCellMar>
            <w:top w:w="0" w:type="dxa"/>
            <w:left w:w="108" w:type="dxa"/>
            <w:bottom w:w="0" w:type="dxa"/>
            <w:right w:w="108" w:type="dxa"/>
          </w:tblCellMar>
        </w:tblPrEx>
        <w:trPr>
          <w:trHeight w:val="567"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20TJZD01</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21世纪以来浙江在“八八战略”指引下高水平全面建成小康社会成就</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王  杰</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浙江省统计局</w:t>
            </w:r>
          </w:p>
        </w:tc>
      </w:tr>
      <w:tr>
        <w:tblPrEx>
          <w:tblLayout w:type="fixed"/>
          <w:tblCellMar>
            <w:top w:w="0" w:type="dxa"/>
            <w:left w:w="108" w:type="dxa"/>
            <w:bottom w:w="0" w:type="dxa"/>
            <w:right w:w="108" w:type="dxa"/>
          </w:tblCellMar>
        </w:tblPrEx>
        <w:trPr>
          <w:trHeight w:val="567"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20TJZD02</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大都市区建设助推浙江现代化的效应测度与对策研究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程开明</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567"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20TJZD05</w:t>
            </w:r>
          </w:p>
        </w:tc>
        <w:tc>
          <w:tcPr>
            <w:tcW w:w="4598"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浙江省社会保障适度水平测度研究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黄秀海</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二、统计重点研究项目</w:t>
            </w:r>
          </w:p>
        </w:tc>
      </w:tr>
      <w:tr>
        <w:tblPrEx>
          <w:tblLayout w:type="fixed"/>
          <w:tblCellMar>
            <w:top w:w="0" w:type="dxa"/>
            <w:left w:w="108" w:type="dxa"/>
            <w:bottom w:w="0" w:type="dxa"/>
            <w:right w:w="108" w:type="dxa"/>
          </w:tblCellMar>
        </w:tblPrEx>
        <w:trPr>
          <w:trHeight w:val="582"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小标宋简体" w:eastAsia="方正小标宋简体"/>
                <w:spacing w:val="4"/>
                <w:sz w:val="36"/>
                <w:szCs w:val="36"/>
              </w:rPr>
            </w:pPr>
            <w:r>
              <w:rPr>
                <w:rFonts w:hint="eastAsia" w:ascii="黑体" w:eastAsia="黑体"/>
                <w:sz w:val="32"/>
                <w:szCs w:val="32"/>
              </w:rPr>
              <w:t>特等奖</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20TJZZ04</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基于税务大数据的宏观经济预测分析——以宁波市为例</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张崇辉</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 xml:space="preserve"> 浙江工商大学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20TJZZ10</w:t>
            </w:r>
          </w:p>
        </w:tc>
        <w:tc>
          <w:tcPr>
            <w:tcW w:w="4598" w:type="dxa"/>
            <w:tcBorders>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大数据时代信息可视化方法及应用研究</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8"/>
                <w:szCs w:val="28"/>
              </w:rPr>
            </w:pPr>
            <w:r>
              <w:rPr>
                <w:rFonts w:hint="eastAsia" w:ascii="仿宋" w:hAnsi="仿宋" w:eastAsia="仿宋" w:cs="仿宋"/>
                <w:color w:val="000000"/>
                <w:kern w:val="0"/>
                <w:sz w:val="28"/>
                <w:szCs w:val="28"/>
                <w:lang w:bidi="ar"/>
              </w:rPr>
              <w:t>周志光</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655"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小标宋简体" w:eastAsia="方正小标宋简体"/>
                <w:spacing w:val="4"/>
                <w:sz w:val="36"/>
                <w:szCs w:val="36"/>
              </w:rPr>
            </w:pPr>
            <w:r>
              <w:rPr>
                <w:rFonts w:hint="eastAsia" w:ascii="黑体" w:eastAsia="黑体"/>
                <w:sz w:val="32"/>
                <w:szCs w:val="32"/>
              </w:rPr>
              <w:t>一等奖</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20TJZZ03</w:t>
            </w:r>
          </w:p>
        </w:tc>
        <w:tc>
          <w:tcPr>
            <w:tcW w:w="4598" w:type="dxa"/>
            <w:tcBorders>
              <w:bottom w:val="single" w:color="auto" w:sz="4" w:space="0"/>
            </w:tcBorders>
            <w:vAlign w:val="center"/>
          </w:tcPr>
          <w:p>
            <w:pPr>
              <w:widowControl/>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可变弹性生产函数模型研究</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章上峰</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510"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20TJZZ09</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spacing w:val="-6"/>
                <w:kern w:val="0"/>
                <w:sz w:val="28"/>
                <w:szCs w:val="28"/>
                <w:lang w:bidi="ar"/>
              </w:rPr>
              <w:t>新经济背景下浙江医药制造业价值链分工及其产业结构变动效应统计研究</w:t>
            </w:r>
          </w:p>
        </w:tc>
        <w:tc>
          <w:tcPr>
            <w:tcW w:w="1131" w:type="dxa"/>
            <w:tcBorders>
              <w:top w:val="nil"/>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项 莹</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702"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20TJZZ15</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基于人工智能的城市道路车辆流量的统计分析研究</w:t>
            </w:r>
          </w:p>
        </w:tc>
        <w:tc>
          <w:tcPr>
            <w:tcW w:w="1131" w:type="dxa"/>
            <w:tcBorders>
              <w:top w:val="nil"/>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  暄</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浙江工业职业技术学院</w:t>
            </w:r>
          </w:p>
        </w:tc>
      </w:tr>
      <w:tr>
        <w:tblPrEx>
          <w:tblLayout w:type="fixed"/>
          <w:tblCellMar>
            <w:top w:w="0" w:type="dxa"/>
            <w:left w:w="108" w:type="dxa"/>
            <w:bottom w:w="0" w:type="dxa"/>
            <w:right w:w="108" w:type="dxa"/>
          </w:tblCellMar>
        </w:tblPrEx>
        <w:trPr>
          <w:trHeight w:val="551"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20TJZZ21</w:t>
            </w:r>
          </w:p>
        </w:tc>
        <w:tc>
          <w:tcPr>
            <w:tcW w:w="4598" w:type="dxa"/>
            <w:tcBorders>
              <w:top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电商领域统计制度与方法改革研究</w:t>
            </w:r>
          </w:p>
        </w:tc>
        <w:tc>
          <w:tcPr>
            <w:tcW w:w="1131" w:type="dxa"/>
            <w:tcBorders>
              <w:top w:val="nil"/>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葛万军</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温州职业技术学院</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小标宋简体" w:eastAsia="方正小标宋简体"/>
                <w:spacing w:val="4"/>
                <w:sz w:val="36"/>
                <w:szCs w:val="36"/>
              </w:rPr>
            </w:pPr>
            <w:r>
              <w:rPr>
                <w:rFonts w:hint="eastAsia" w:ascii="黑体" w:eastAsia="黑体"/>
                <w:sz w:val="32"/>
                <w:szCs w:val="32"/>
              </w:rPr>
              <w:t>二等奖</w:t>
            </w:r>
          </w:p>
        </w:tc>
      </w:tr>
      <w:tr>
        <w:tblPrEx>
          <w:tblLayout w:type="fixed"/>
          <w:tblCellMar>
            <w:top w:w="0" w:type="dxa"/>
            <w:left w:w="108" w:type="dxa"/>
            <w:bottom w:w="0" w:type="dxa"/>
            <w:right w:w="108" w:type="dxa"/>
          </w:tblCellMar>
        </w:tblPrEx>
        <w:trPr>
          <w:trHeight w:val="626"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20TJZZ01</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“双循环”发展格局下宁波争创发展新优势研究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杨馥源</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宁波市统计学会</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20TJZZ02</w:t>
            </w:r>
          </w:p>
        </w:tc>
        <w:tc>
          <w:tcPr>
            <w:tcW w:w="4598" w:type="dxa"/>
            <w:tcBorders>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民营经济应对冲击的敏锐性研究</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陈玲萍</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台州市统计局</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20TJZZ08</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双成分混合模型的稳健估计研究</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项思佳</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90"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20TJZZ13</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空间自回归异方差模型的统计诊断</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徐登可</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浙江农林大学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20TJZZ16</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浙江省新经济增长驱动因素分析</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柳  春</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杭州市工人业余大学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20TJZZ20</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浙江大湾区中心城市创业投资引导基金促进“双创”的效果评价与机制创新策略</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杨晓伟</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宁波城市职业技术学院</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20TJZZ22</w:t>
            </w:r>
          </w:p>
        </w:tc>
        <w:tc>
          <w:tcPr>
            <w:tcW w:w="4598" w:type="dxa"/>
            <w:tcBorders>
              <w:top w:val="single" w:color="auto" w:sz="4" w:space="0"/>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全域旅游背景下地区级旅游卫星账户框架体系构建及应用：以丽水为例</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何永达</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丽水学院</w:t>
            </w:r>
          </w:p>
        </w:tc>
      </w:tr>
      <w:tr>
        <w:tblPrEx>
          <w:tblLayout w:type="fixed"/>
          <w:tblCellMar>
            <w:top w:w="0" w:type="dxa"/>
            <w:left w:w="108" w:type="dxa"/>
            <w:bottom w:w="0" w:type="dxa"/>
            <w:right w:w="108" w:type="dxa"/>
          </w:tblCellMar>
        </w:tblPrEx>
        <w:trPr>
          <w:trHeight w:val="794" w:hRule="atLeast"/>
          <w:tblHeader/>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小标宋简体" w:eastAsia="方正小标宋简体"/>
                <w:spacing w:val="4"/>
                <w:sz w:val="36"/>
                <w:szCs w:val="36"/>
              </w:rPr>
            </w:pPr>
            <w:r>
              <w:rPr>
                <w:rFonts w:hint="eastAsia" w:ascii="黑体" w:eastAsia="黑体"/>
                <w:sz w:val="32"/>
                <w:szCs w:val="32"/>
              </w:rPr>
              <w:t>结项</w:t>
            </w:r>
          </w:p>
        </w:tc>
      </w:tr>
      <w:tr>
        <w:tblPrEx>
          <w:tblLayout w:type="fixed"/>
          <w:tblCellMar>
            <w:top w:w="0" w:type="dxa"/>
            <w:left w:w="108" w:type="dxa"/>
            <w:bottom w:w="0" w:type="dxa"/>
            <w:right w:w="108" w:type="dxa"/>
          </w:tblCellMar>
        </w:tblPrEx>
        <w:trPr>
          <w:trHeight w:val="57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20TJZZ05</w:t>
            </w:r>
          </w:p>
        </w:tc>
        <w:tc>
          <w:tcPr>
            <w:tcW w:w="4598" w:type="dxa"/>
            <w:tcBorders>
              <w:bottom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大数据背景下面向公共突发事件的</w:t>
            </w:r>
            <w:r>
              <w:rPr>
                <w:rFonts w:hint="eastAsia" w:ascii="仿宋" w:hAnsi="仿宋" w:eastAsia="仿宋" w:cs="仿宋"/>
                <w:color w:val="000000"/>
                <w:spacing w:val="-6"/>
                <w:kern w:val="0"/>
                <w:sz w:val="28"/>
                <w:szCs w:val="28"/>
                <w:lang w:bidi="ar"/>
              </w:rPr>
              <w:t>网络舆情演化机理及其引导机制研究</w:t>
            </w:r>
          </w:p>
        </w:tc>
        <w:tc>
          <w:tcPr>
            <w:tcW w:w="1131"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陈庭贵</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 xml:space="preserve"> 浙江工商大学</w:t>
            </w:r>
          </w:p>
        </w:tc>
      </w:tr>
      <w:tr>
        <w:tblPrEx>
          <w:tblLayout w:type="fixed"/>
          <w:tblCellMar>
            <w:top w:w="0" w:type="dxa"/>
            <w:left w:w="108" w:type="dxa"/>
            <w:bottom w:w="0" w:type="dxa"/>
            <w:right w:w="108" w:type="dxa"/>
          </w:tblCellMar>
        </w:tblPrEx>
        <w:trPr>
          <w:trHeight w:val="551"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20TJZZ07</w:t>
            </w:r>
          </w:p>
        </w:tc>
        <w:tc>
          <w:tcPr>
            <w:tcW w:w="4598" w:type="dxa"/>
            <w:tcBorders>
              <w:top w:val="single" w:color="auto" w:sz="4" w:space="0"/>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数字经济背景下地方政府公共文化服务的评价体系构建</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罗  季</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20TJZZ12</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垄断、市场化与转型期的收入不平等</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许  涛</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浙江师范大学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20TJZZ17</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“减税降费”对民营企业创新投入的效应评估及区域比较</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吴鹏跃</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20TJZZ18</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高维模型中稀疏正则化参数选择的稳健AIC方法研究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王延新</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宁波工程学院</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20TJZZ19</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随机抽样方法在大数据统计分析中的适用性研究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龚  俊</w:t>
            </w:r>
          </w:p>
        </w:tc>
        <w:tc>
          <w:tcPr>
            <w:tcW w:w="265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宁波财经学院</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20TJZZ23</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浙江制造业投资高质量发展研究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竺  园</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省统计局投资处</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20TJZZ24</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高质量推进我省“十四五”节能降耗工作的对策建议</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方腾高</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省统计局能源与环境处</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20TJZZ25</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浙江人口结构变化趋势研究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张兴华</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省统计局人口处</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20TJZZ26</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从统计数字看浙江建设“重要窗口”的优势和潜力</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王美福</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省统计局综合处</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20TJZZ27</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对省以下开展统计督察的几点思考</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  川</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省统计局执法局</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20TJZZ28</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深化数字化转型，助推浙江统计工作现代化</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姚剑平</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省统计局数管中心</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20TJZZ29</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浙江健康产业发展现状及对策研究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郭慧敏</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省地方统计调查队服务业处</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三、统计青年研究项目</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z w:val="32"/>
                <w:szCs w:val="32"/>
              </w:rPr>
            </w:pPr>
            <w:r>
              <w:rPr>
                <w:rFonts w:hint="eastAsia" w:ascii="黑体" w:eastAsia="黑体"/>
                <w:sz w:val="32"/>
                <w:szCs w:val="32"/>
              </w:rPr>
              <w:t>特等奖</w:t>
            </w:r>
          </w:p>
        </w:tc>
      </w:tr>
      <w:tr>
        <w:tblPrEx>
          <w:tblLayout w:type="fixed"/>
          <w:tblCellMar>
            <w:top w:w="0" w:type="dxa"/>
            <w:left w:w="108" w:type="dxa"/>
            <w:bottom w:w="0" w:type="dxa"/>
            <w:right w:w="108" w:type="dxa"/>
          </w:tblCellMar>
        </w:tblPrEx>
        <w:trPr>
          <w:trHeight w:val="840"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3</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长三角地区生产性服务业与制造业协同集聚的统计研究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庄燕杰</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703"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eastAsia="黑体"/>
                <w:sz w:val="32"/>
                <w:szCs w:val="32"/>
              </w:rPr>
            </w:pPr>
            <w:r>
              <w:rPr>
                <w:rFonts w:hint="eastAsia" w:ascii="黑体" w:eastAsia="黑体"/>
                <w:sz w:val="32"/>
                <w:szCs w:val="32"/>
              </w:rPr>
              <w:t>一等奖</w:t>
            </w:r>
          </w:p>
        </w:tc>
      </w:tr>
      <w:tr>
        <w:tblPrEx>
          <w:tblLayout w:type="fixed"/>
          <w:tblCellMar>
            <w:top w:w="0" w:type="dxa"/>
            <w:left w:w="108" w:type="dxa"/>
            <w:bottom w:w="0" w:type="dxa"/>
            <w:right w:w="108" w:type="dxa"/>
          </w:tblCellMar>
        </w:tblPrEx>
        <w:trPr>
          <w:trHeight w:val="993"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8</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浙江省老年人口长期护理需求预测与保障机制研究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杨芊芊</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70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w:t>
            </w:r>
            <w:r>
              <w:rPr>
                <w:rFonts w:ascii="仿宋" w:hAnsi="仿宋" w:eastAsia="仿宋" w:cs="仿宋"/>
                <w:color w:val="000000"/>
                <w:kern w:val="0"/>
                <w:sz w:val="28"/>
                <w:szCs w:val="28"/>
                <w:lang w:bidi="ar"/>
              </w:rPr>
              <w:t>11</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新时代区域治理绩效评价及优化路径——基于浙江11个地市比较分析</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  洁</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trHeight w:val="544"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eastAsia="黑体"/>
                <w:sz w:val="32"/>
                <w:szCs w:val="32"/>
              </w:rPr>
            </w:pPr>
            <w:r>
              <w:rPr>
                <w:rFonts w:hint="eastAsia" w:ascii="黑体" w:eastAsia="黑体"/>
                <w:sz w:val="32"/>
                <w:szCs w:val="32"/>
              </w:rPr>
              <w:t>二等奖</w:t>
            </w:r>
          </w:p>
        </w:tc>
      </w:tr>
      <w:tr>
        <w:tblPrEx>
          <w:tblLayout w:type="fixed"/>
          <w:tblCellMar>
            <w:top w:w="0" w:type="dxa"/>
            <w:left w:w="108" w:type="dxa"/>
            <w:bottom w:w="0" w:type="dxa"/>
            <w:right w:w="108" w:type="dxa"/>
          </w:tblCellMar>
        </w:tblPrEx>
        <w:trPr>
          <w:trHeight w:val="70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20TJQN01</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产业融合视角下舟山市文化产业发展路径探索</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妍</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trHeight w:val="70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9</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浙江省城市社区灾害防治的共建共治共享指数研究：测算模型、空间统计与提升策略</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黄  莉</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566"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w:t>
            </w:r>
            <w:r>
              <w:rPr>
                <w:rFonts w:ascii="仿宋" w:hAnsi="仿宋" w:eastAsia="仿宋" w:cs="仿宋"/>
                <w:color w:val="000000"/>
                <w:kern w:val="0"/>
                <w:sz w:val="28"/>
                <w:szCs w:val="28"/>
                <w:lang w:bidi="ar"/>
              </w:rPr>
              <w:t>10</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外卖平台食品安全风险的统计分析和治理研究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傅  啸</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trHeight w:val="566"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20TJQN</w:t>
            </w:r>
            <w:r>
              <w:rPr>
                <w:rFonts w:ascii="仿宋" w:hAnsi="仿宋" w:eastAsia="仿宋" w:cs="仿宋"/>
                <w:color w:val="000000"/>
                <w:kern w:val="0"/>
                <w:sz w:val="28"/>
                <w:szCs w:val="28"/>
                <w:lang w:bidi="ar"/>
              </w:rPr>
              <w:t>12</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电子商务发展与城乡收入差距：浙江证据</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曾亿武</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杭州师范大学</w:t>
            </w:r>
          </w:p>
        </w:tc>
      </w:tr>
      <w:tr>
        <w:tblPrEx>
          <w:tblLayout w:type="fixed"/>
          <w:tblCellMar>
            <w:top w:w="0" w:type="dxa"/>
            <w:left w:w="108" w:type="dxa"/>
            <w:bottom w:w="0" w:type="dxa"/>
            <w:right w:w="108" w:type="dxa"/>
          </w:tblCellMar>
        </w:tblPrEx>
        <w:trPr>
          <w:trHeight w:val="617"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z w:val="32"/>
                <w:szCs w:val="32"/>
              </w:rPr>
            </w:pPr>
            <w:r>
              <w:rPr>
                <w:rFonts w:hint="eastAsia" w:ascii="黑体" w:eastAsia="黑体"/>
                <w:sz w:val="32"/>
                <w:szCs w:val="32"/>
              </w:rPr>
              <w:t>结项</w:t>
            </w:r>
          </w:p>
        </w:tc>
      </w:tr>
      <w:tr>
        <w:tblPrEx>
          <w:tblLayout w:type="fixed"/>
          <w:tblCellMar>
            <w:top w:w="0" w:type="dxa"/>
            <w:left w:w="108" w:type="dxa"/>
            <w:bottom w:w="0" w:type="dxa"/>
            <w:right w:w="108" w:type="dxa"/>
          </w:tblCellMar>
        </w:tblPrEx>
        <w:trPr>
          <w:trHeight w:val="70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2</w:t>
            </w:r>
          </w:p>
        </w:tc>
        <w:tc>
          <w:tcPr>
            <w:tcW w:w="4598" w:type="dxa"/>
            <w:tcBorders>
              <w:top w:val="nil"/>
              <w:left w:val="nil"/>
              <w:bottom w:val="single" w:color="auto" w:sz="4" w:space="0"/>
              <w:right w:val="single" w:color="auto" w:sz="4" w:space="0"/>
            </w:tcBorders>
            <w:vAlign w:val="center"/>
          </w:tcPr>
          <w:p>
            <w:pPr>
              <w:widowControl/>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浙江新经济新动能发展研究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杜伟杰</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spacing w:val="-6"/>
                <w:kern w:val="0"/>
                <w:sz w:val="28"/>
                <w:szCs w:val="28"/>
                <w:lang w:bidi="ar"/>
              </w:rPr>
              <w:t>浙江省经济信息中心</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4</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spacing w:val="-6"/>
                <w:kern w:val="0"/>
                <w:sz w:val="28"/>
                <w:szCs w:val="28"/>
                <w:lang w:bidi="ar"/>
              </w:rPr>
              <w:t>双样本随机缺失数据的曲线差异比较</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蔡  利</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5</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多维视角下我国保险周期与经济周期动态交互影响研究</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刘倩男</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浙江工商大学杭州商学院</w:t>
            </w:r>
          </w:p>
        </w:tc>
      </w:tr>
      <w:tr>
        <w:tblPrEx>
          <w:tblLayout w:type="fixed"/>
          <w:tblCellMar>
            <w:top w:w="0" w:type="dxa"/>
            <w:left w:w="108" w:type="dxa"/>
            <w:bottom w:w="0" w:type="dxa"/>
            <w:right w:w="108" w:type="dxa"/>
          </w:tblCellMar>
        </w:tblPrEx>
        <w:trPr>
          <w:trHeight w:val="702"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6</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浙江省人口增长-土地城镇化水平的时空演化特征及驱动因素研究</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罗娇娇</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93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20TJQN0</w:t>
            </w:r>
            <w:r>
              <w:rPr>
                <w:rFonts w:ascii="仿宋" w:hAnsi="仿宋" w:eastAsia="仿宋" w:cs="仿宋"/>
                <w:color w:val="000000"/>
                <w:kern w:val="0"/>
                <w:sz w:val="28"/>
                <w:szCs w:val="28"/>
                <w:lang w:bidi="ar"/>
              </w:rPr>
              <w:t>7</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浙江省“双困”老年人长期照护需求规模统计与救助费用测算研究</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汪连杰</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930"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Style w:val="6"/>
                <w:rFonts w:hint="default" w:hAnsi="宋体"/>
                <w:lang w:bidi="ar"/>
              </w:rPr>
              <w:t>20TJQN</w:t>
            </w:r>
            <w:r>
              <w:rPr>
                <w:rFonts w:ascii="仿宋" w:hAnsi="仿宋" w:eastAsia="仿宋" w:cs="仿宋"/>
                <w:color w:val="000000"/>
                <w:kern w:val="0"/>
                <w:sz w:val="28"/>
                <w:szCs w:val="28"/>
                <w:lang w:bidi="ar"/>
              </w:rPr>
              <w:t>13</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spacing w:val="-6"/>
                <w:kern w:val="0"/>
                <w:sz w:val="28"/>
                <w:szCs w:val="28"/>
                <w:lang w:bidi="ar"/>
              </w:rPr>
              <w:t>基于后疫情时代旅游者消费偏好变化的浙江旅游企业营销策略创新研究</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薛琳琳</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0" w:type="dxa"/>
            <w:left w:w="108" w:type="dxa"/>
            <w:bottom w:w="0" w:type="dxa"/>
            <w:right w:w="108" w:type="dxa"/>
          </w:tblCellMar>
        </w:tblPrEx>
        <w:trPr>
          <w:trHeight w:val="614"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Style w:val="6"/>
                <w:rFonts w:hint="default" w:hAnsi="宋体"/>
                <w:lang w:bidi="ar"/>
              </w:rPr>
              <w:t>20TJQN</w:t>
            </w:r>
            <w:r>
              <w:rPr>
                <w:rFonts w:ascii="仿宋" w:hAnsi="仿宋" w:eastAsia="仿宋" w:cs="仿宋"/>
                <w:color w:val="000000"/>
                <w:kern w:val="0"/>
                <w:sz w:val="28"/>
                <w:szCs w:val="28"/>
                <w:lang w:bidi="ar"/>
              </w:rPr>
              <w:t>15</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“十四五”高水平推进浙江县域营商环境治理现代化的调查研究—基于义乌的调查分析</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傅  泽</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义乌工商职业技术学院</w:t>
            </w:r>
          </w:p>
        </w:tc>
      </w:tr>
      <w:tr>
        <w:tblPrEx>
          <w:tblLayout w:type="fixed"/>
          <w:tblCellMar>
            <w:top w:w="0" w:type="dxa"/>
            <w:left w:w="108" w:type="dxa"/>
            <w:bottom w:w="0" w:type="dxa"/>
            <w:right w:w="108" w:type="dxa"/>
          </w:tblCellMar>
        </w:tblPrEx>
        <w:trPr>
          <w:trHeight w:val="995"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19TJQN0</w:t>
            </w:r>
            <w:r>
              <w:rPr>
                <w:rFonts w:ascii="仿宋" w:hAnsi="仿宋" w:eastAsia="仿宋" w:cs="仿宋"/>
                <w:color w:val="000000"/>
                <w:kern w:val="0"/>
                <w:sz w:val="28"/>
                <w:szCs w:val="28"/>
                <w:lang w:bidi="ar"/>
              </w:rPr>
              <w:t>3</w:t>
            </w:r>
          </w:p>
        </w:tc>
        <w:tc>
          <w:tcPr>
            <w:tcW w:w="4598" w:type="dxa"/>
            <w:tcBorders>
              <w:top w:val="nil"/>
              <w:left w:val="nil"/>
              <w:bottom w:val="single" w:color="auto" w:sz="4" w:space="0"/>
              <w:right w:val="single" w:color="auto" w:sz="4" w:space="0"/>
            </w:tcBorders>
            <w:vAlign w:val="bottom"/>
          </w:tcPr>
          <w:p>
            <w:pPr>
              <w:widowControl/>
              <w:spacing w:line="400" w:lineRule="exact"/>
              <w:jc w:val="left"/>
              <w:textAlignment w:val="bottom"/>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浙江民营经济全球价值链分工地位测度及其提升路径研究</w:t>
            </w:r>
          </w:p>
        </w:tc>
        <w:tc>
          <w:tcPr>
            <w:tcW w:w="1131"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余  骁</w:t>
            </w:r>
          </w:p>
        </w:tc>
        <w:tc>
          <w:tcPr>
            <w:tcW w:w="2654"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638" w:hRule="atLeast"/>
        </w:trPr>
        <w:tc>
          <w:tcPr>
            <w:tcW w:w="974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四、统计科学研究基地项目</w:t>
            </w:r>
          </w:p>
        </w:tc>
      </w:tr>
      <w:tr>
        <w:tblPrEx>
          <w:tblLayout w:type="fixed"/>
          <w:tblCellMar>
            <w:top w:w="0" w:type="dxa"/>
            <w:left w:w="108" w:type="dxa"/>
            <w:bottom w:w="0" w:type="dxa"/>
            <w:right w:w="108" w:type="dxa"/>
          </w:tblCellMar>
        </w:tblPrEx>
        <w:trPr>
          <w:trHeight w:val="544" w:hRule="atLeast"/>
        </w:trPr>
        <w:tc>
          <w:tcPr>
            <w:tcW w:w="9749" w:type="dxa"/>
            <w:gridSpan w:val="4"/>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黑体" w:eastAsia="黑体"/>
                <w:sz w:val="32"/>
                <w:szCs w:val="32"/>
              </w:rPr>
              <w:t>优秀奖</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20TJJD01</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农民工享有城市基本公共服务的水平及区域差异研究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钱雪亚</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20TJJD02</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多元化补贴政策对企业研发行为的影响机理与非线性效应研究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焦翠红</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20TJJD05</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产业同构化测度指标的合理性研究及应用</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胡玉琴</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20TJJD08</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大数据背景下Elastic Net分位数回</w:t>
            </w:r>
            <w:r>
              <w:rPr>
                <w:rFonts w:hint="eastAsia" w:ascii="仿宋" w:hAnsi="仿宋" w:eastAsia="仿宋" w:cs="仿宋"/>
                <w:color w:val="000000"/>
                <w:spacing w:val="-6"/>
                <w:kern w:val="0"/>
                <w:sz w:val="28"/>
                <w:szCs w:val="28"/>
                <w:lang w:bidi="ar"/>
              </w:rPr>
              <w:t>归模型及其在金融风险监测中的应用</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王文胜</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20TJJD13</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创新驱动下温州制造业高质量发展对策研究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蔡风景</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温州大学</w:t>
            </w:r>
          </w:p>
        </w:tc>
      </w:tr>
      <w:tr>
        <w:tblPrEx>
          <w:tblLayout w:type="fixed"/>
          <w:tblCellMar>
            <w:top w:w="0" w:type="dxa"/>
            <w:left w:w="108" w:type="dxa"/>
            <w:bottom w:w="0" w:type="dxa"/>
            <w:right w:w="108" w:type="dxa"/>
          </w:tblCellMar>
        </w:tblPrEx>
        <w:trPr>
          <w:trHeight w:val="544" w:hRule="atLeast"/>
        </w:trPr>
        <w:tc>
          <w:tcPr>
            <w:tcW w:w="9749" w:type="dxa"/>
            <w:gridSpan w:val="4"/>
            <w:tcBorders>
              <w:top w:val="nil"/>
              <w:left w:val="single" w:color="auto" w:sz="4" w:space="0"/>
              <w:bottom w:val="single" w:color="auto" w:sz="4" w:space="0"/>
              <w:right w:val="single" w:color="auto" w:sz="4" w:space="0"/>
            </w:tcBorders>
            <w:vAlign w:val="center"/>
          </w:tcPr>
          <w:p>
            <w:pPr>
              <w:spacing w:line="360" w:lineRule="exact"/>
              <w:jc w:val="center"/>
              <w:rPr>
                <w:rFonts w:ascii="仿宋_GB2312" w:eastAsia="仿宋_GB2312"/>
                <w:kern w:val="0"/>
                <w:sz w:val="28"/>
                <w:szCs w:val="28"/>
              </w:rPr>
            </w:pPr>
            <w:r>
              <w:rPr>
                <w:rFonts w:hint="eastAsia" w:ascii="黑体" w:eastAsia="黑体"/>
                <w:sz w:val="32"/>
                <w:szCs w:val="32"/>
              </w:rPr>
              <w:t>结项</w:t>
            </w:r>
          </w:p>
        </w:tc>
      </w:tr>
      <w:tr>
        <w:tblPrEx>
          <w:tblLayout w:type="fixed"/>
          <w:tblCellMar>
            <w:top w:w="0" w:type="dxa"/>
            <w:left w:w="108" w:type="dxa"/>
            <w:bottom w:w="0" w:type="dxa"/>
            <w:right w:w="108" w:type="dxa"/>
          </w:tblCellMar>
        </w:tblPrEx>
        <w:trPr>
          <w:trHeight w:val="474"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20TJJD03</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浙江省不同活动类型研发资本核算</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侯睿婕</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20TJJD04</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中国与“一带一路”沿线国家金融市场的动态风险测度研究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郝晓珍</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20TJJD06</w:t>
            </w:r>
          </w:p>
        </w:tc>
        <w:tc>
          <w:tcPr>
            <w:tcW w:w="4598"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基于核算视角的生态系统服务分类方法研究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石  薇</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20TJJD07</w:t>
            </w:r>
          </w:p>
        </w:tc>
        <w:tc>
          <w:tcPr>
            <w:tcW w:w="4598" w:type="dxa"/>
            <w:tcBorders>
              <w:top w:val="nil"/>
              <w:left w:val="nil"/>
              <w:bottom w:val="single" w:color="auto" w:sz="4" w:space="0"/>
              <w:right w:val="single" w:color="auto" w:sz="4" w:space="0"/>
            </w:tcBorders>
            <w:vAlign w:val="center"/>
          </w:tcPr>
          <w:p>
            <w:pPr>
              <w:widowControl/>
              <w:spacing w:line="38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基于众数回归的动态协方差模型稳健估计方法研究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许  林</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20TJJD09</w:t>
            </w:r>
          </w:p>
        </w:tc>
        <w:tc>
          <w:tcPr>
            <w:tcW w:w="4598" w:type="dxa"/>
            <w:tcBorders>
              <w:top w:val="single" w:color="auto" w:sz="4" w:space="0"/>
              <w:left w:val="nil"/>
              <w:bottom w:val="single" w:color="auto" w:sz="4" w:space="0"/>
              <w:right w:val="single" w:color="auto" w:sz="4" w:space="0"/>
            </w:tcBorders>
            <w:vAlign w:val="center"/>
          </w:tcPr>
          <w:p>
            <w:pPr>
              <w:widowControl/>
              <w:spacing w:line="38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大数据背景下CPI中质量调整问题研究</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付  荣</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20TJJD10</w:t>
            </w:r>
          </w:p>
        </w:tc>
        <w:tc>
          <w:tcPr>
            <w:tcW w:w="4598" w:type="dxa"/>
            <w:tcBorders>
              <w:top w:val="nil"/>
              <w:left w:val="nil"/>
              <w:bottom w:val="single" w:color="auto" w:sz="4" w:space="0"/>
              <w:right w:val="single" w:color="auto" w:sz="4" w:space="0"/>
            </w:tcBorders>
            <w:vAlign w:val="center"/>
          </w:tcPr>
          <w:p>
            <w:pPr>
              <w:widowControl/>
              <w:spacing w:line="38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浙江自贸区三周年发展成就、挑战与机遇</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沈室渊</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trHeight w:val="619" w:hRule="atLeast"/>
        </w:trPr>
        <w:tc>
          <w:tcPr>
            <w:tcW w:w="1366"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20TJJD11</w:t>
            </w:r>
          </w:p>
        </w:tc>
        <w:tc>
          <w:tcPr>
            <w:tcW w:w="4598" w:type="dxa"/>
            <w:tcBorders>
              <w:top w:val="nil"/>
              <w:left w:val="nil"/>
              <w:bottom w:val="single" w:color="auto" w:sz="4" w:space="0"/>
              <w:right w:val="single" w:color="auto" w:sz="4" w:space="0"/>
            </w:tcBorders>
            <w:vAlign w:val="center"/>
          </w:tcPr>
          <w:p>
            <w:pPr>
              <w:widowControl/>
              <w:spacing w:line="38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从渔业全产业链看舟山水产品加工业发展</w:t>
            </w:r>
          </w:p>
        </w:tc>
        <w:tc>
          <w:tcPr>
            <w:tcW w:w="1131"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陈忠年</w:t>
            </w:r>
          </w:p>
        </w:tc>
        <w:tc>
          <w:tcPr>
            <w:tcW w:w="2654"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trHeight w:val="619"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20TJJD12</w:t>
            </w:r>
          </w:p>
        </w:tc>
        <w:tc>
          <w:tcPr>
            <w:tcW w:w="4598" w:type="dxa"/>
            <w:tcBorders>
              <w:top w:val="single" w:color="auto" w:sz="4" w:space="0"/>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新经济活动统计分类与统计调查制度研究</w:t>
            </w:r>
          </w:p>
        </w:tc>
        <w:tc>
          <w:tcPr>
            <w:tcW w:w="113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  松</w:t>
            </w:r>
          </w:p>
        </w:tc>
        <w:tc>
          <w:tcPr>
            <w:tcW w:w="265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7228A"/>
    <w:rsid w:val="2AB7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adjustRightInd w:val="0"/>
      <w:snapToGrid w:val="0"/>
      <w:spacing w:line="240" w:lineRule="atLeast"/>
      <w:jc w:val="left"/>
      <w:textAlignment w:val="baseline"/>
    </w:pPr>
    <w:rPr>
      <w:rFonts w:ascii="仿宋_GB2312" w:eastAsia="仿宋_GB2312"/>
      <w:caps/>
      <w:kern w:val="0"/>
      <w:sz w:val="18"/>
      <w:szCs w:val="18"/>
    </w:rPr>
  </w:style>
  <w:style w:type="character" w:styleId="4">
    <w:name w:val="page number"/>
    <w:basedOn w:val="3"/>
    <w:uiPriority w:val="0"/>
  </w:style>
  <w:style w:type="character" w:customStyle="1" w:styleId="6">
    <w:name w:val="font31"/>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1</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2021-08-06T02:42:00Z</dcterms:created>
  <dc:creator>PanPan</dc:creator>
  <cp:lastModifiedBy>PanPan</cp:lastModifiedBy>
  <dcterms:modified xsi:type="dcterms:W3CDTF">2021-08-06T02:43:57Z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