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 w:ascii="宋体" w:hAnsi="宋体" w:eastAsia="宋体" w:cs="宋体"/>
          <w:color w:val="000000"/>
          <w:sz w:val="84"/>
          <w:szCs w:val="8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84"/>
          <w:szCs w:val="84"/>
        </w:rPr>
        <w:t>公立医院综合改革重点工作</w:t>
      </w:r>
      <w:r>
        <w:rPr>
          <w:rFonts w:hint="eastAsia" w:asciiTheme="majorEastAsia" w:hAnsiTheme="majorEastAsia" w:eastAsiaTheme="majorEastAsia" w:cstheme="majorEastAsia"/>
          <w:color w:val="000000"/>
          <w:sz w:val="84"/>
          <w:szCs w:val="84"/>
          <w:lang w:eastAsia="zh-CN"/>
        </w:rPr>
        <w:t>统计报表制度</w:t>
      </w:r>
    </w:p>
    <w:p/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pacing w:val="8"/>
          <w:sz w:val="32"/>
          <w:szCs w:val="32"/>
          <w:lang w:val="en-US" w:eastAsia="zh-CN"/>
        </w:rPr>
        <w:t>2021年定期报表</w:t>
      </w:r>
      <w:r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 w:cs="宋体"/>
          <w:color w:val="000000"/>
          <w:spacing w:val="8"/>
          <w:sz w:val="32"/>
          <w:szCs w:val="32"/>
        </w:rPr>
      </w:pPr>
    </w:p>
    <w:p/>
    <w:p/>
    <w:p/>
    <w:p/>
    <w:p/>
    <w:p/>
    <w:p/>
    <w:p/>
    <w:p/>
    <w:p>
      <w:pPr>
        <w:jc w:val="center"/>
        <w:rPr>
          <w:rFonts w:ascii="宋体"/>
          <w:color w:val="000000"/>
          <w:sz w:val="32"/>
        </w:rPr>
      </w:pPr>
    </w:p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8"/>
          <w:sz w:val="32"/>
          <w:szCs w:val="32"/>
        </w:rPr>
        <w:t>浙江省卫生健康委制定</w:t>
      </w:r>
    </w:p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2"/>
          <w:szCs w:val="32"/>
          <w:lang w:eastAsia="zh-CN"/>
        </w:rPr>
        <w:t>浙江省统计局批准</w:t>
      </w:r>
    </w:p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8"/>
          <w:sz w:val="32"/>
          <w:szCs w:val="32"/>
        </w:rPr>
        <w:t>2021年</w:t>
      </w:r>
      <w:r>
        <w:rPr>
          <w:rFonts w:hint="eastAsia" w:ascii="楷体" w:hAnsi="楷体" w:eastAsia="楷体" w:cs="楷体"/>
          <w:color w:val="000000"/>
          <w:spacing w:val="8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000000"/>
          <w:spacing w:val="8"/>
          <w:sz w:val="32"/>
          <w:szCs w:val="32"/>
        </w:rPr>
        <w:t>月</w:t>
      </w:r>
    </w:p>
    <w:p>
      <w:pPr>
        <w:jc w:val="center"/>
        <w:rPr>
          <w:rFonts w:hint="eastAsia" w:ascii="楷体" w:hAnsi="楷体" w:eastAsia="楷体" w:cs="楷体"/>
          <w:color w:val="000000"/>
          <w:spacing w:val="8"/>
          <w:sz w:val="32"/>
          <w:szCs w:val="32"/>
        </w:rPr>
        <w:sectPr>
          <w:footerReference r:id="rId3" w:type="default"/>
          <w:pgSz w:w="11906" w:h="16838"/>
          <w:pgMar w:top="1644" w:right="1644" w:bottom="1644" w:left="1644" w:header="851" w:footer="992" w:gutter="0"/>
          <w:pgNumType w:fmt="numberInDash" w:start="1"/>
          <w:cols w:space="720" w:num="1"/>
          <w:docGrid w:type="lines" w:linePitch="435" w:charSpace="0"/>
        </w:sectPr>
      </w:pPr>
    </w:p>
    <w:p>
      <w:pPr>
        <w:spacing w:line="48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before="107" w:line="320" w:lineRule="exact"/>
        <w:ind w:right="440" w:firstLine="220"/>
        <w:jc w:val="center"/>
        <w:rPr>
          <w:rFonts w:hint="eastAsia" w:ascii="宋体" w:hAnsi="宋体" w:eastAsia="宋体" w:cs="宋体"/>
          <w:w w:val="95"/>
          <w:sz w:val="32"/>
          <w:szCs w:val="32"/>
          <w:lang w:eastAsia="zh-CN"/>
        </w:rPr>
      </w:pPr>
      <w:r>
        <w:rPr>
          <w:rFonts w:hint="eastAsia" w:ascii="宋体" w:hAnsi="宋体" w:cs="宋体"/>
          <w:w w:val="95"/>
          <w:sz w:val="32"/>
          <w:szCs w:val="32"/>
        </w:rPr>
        <w:t>本</w:t>
      </w:r>
      <w:r>
        <w:rPr>
          <w:rFonts w:hint="eastAsia" w:ascii="宋体" w:hAnsi="宋体" w:cs="宋体"/>
          <w:w w:val="95"/>
          <w:sz w:val="32"/>
          <w:szCs w:val="32"/>
          <w:lang w:eastAsia="zh-CN"/>
        </w:rPr>
        <w:t>报表制度</w:t>
      </w:r>
      <w:r>
        <w:rPr>
          <w:rFonts w:hint="eastAsia" w:ascii="宋体" w:hAnsi="宋体" w:cs="宋体"/>
          <w:w w:val="95"/>
          <w:sz w:val="32"/>
          <w:szCs w:val="32"/>
        </w:rPr>
        <w:t>根据《中华人民共和国统计法》的有关规定制</w:t>
      </w:r>
      <w:r>
        <w:rPr>
          <w:rFonts w:hint="eastAsia" w:ascii="宋体" w:hAnsi="宋体" w:cs="宋体"/>
          <w:w w:val="95"/>
          <w:sz w:val="32"/>
          <w:szCs w:val="32"/>
          <w:lang w:eastAsia="zh-CN"/>
        </w:rPr>
        <w:t>定</w:t>
      </w:r>
    </w:p>
    <w:p>
      <w:pPr>
        <w:spacing w:line="560" w:lineRule="exact"/>
        <w:rPr>
          <w:rFonts w:hAnsi="仿宋"/>
          <w:spacing w:val="-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8" w:firstLineChars="200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2"/>
          <w:sz w:val="28"/>
          <w:szCs w:val="28"/>
          <w:lang w:val="en-US" w:eastAsia="zh-CN" w:bidi="ar-SA"/>
        </w:rPr>
        <w:t>《中华人民共和国统计法》第七条规定：</w:t>
      </w:r>
      <w:r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8" w:firstLineChars="200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2"/>
          <w:sz w:val="28"/>
          <w:szCs w:val="28"/>
          <w:lang w:val="en-US" w:eastAsia="zh-CN" w:bidi="ar-SA"/>
        </w:rPr>
        <w:t>《中华人民共和国统计法》第九条规定：</w:t>
      </w:r>
      <w:r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  <w:t>统计机构和统计人员对在统计工作中知悉的国家秘密、商业秘密和个人信息，应当予以保密。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8" w:firstLineChars="200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kern w:val="2"/>
          <w:sz w:val="28"/>
          <w:szCs w:val="28"/>
          <w:lang w:val="en-US" w:eastAsia="zh-CN" w:bidi="ar-SA"/>
        </w:rPr>
        <w:t>《中华人民共和国统计法》第十五条规定：</w:t>
      </w:r>
      <w:r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  <w:t>统计调查表应当标明表号、制定机关、批准或者备案文号、有效期限等标志。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6" w:firstLineChars="200"/>
        <w:textAlignment w:val="auto"/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-SA"/>
        </w:rPr>
        <w:t>对未标明前款规定的标志或者超过有效期限的统计调查表，统计调查对象有权拒绝填报；县级以上人民政府统计机构应当依法责令停止有关统计调查活动。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spacing w:val="-8"/>
        </w:rPr>
      </w:pPr>
    </w:p>
    <w:p>
      <w:pPr>
        <w:spacing w:line="360" w:lineRule="exact"/>
        <w:rPr>
          <w:rFonts w:hint="eastAsia" w:ascii="宋体" w:hAnsi="宋体" w:eastAsia="宋体" w:cs="宋体"/>
          <w:color w:val="000000"/>
          <w:spacing w:val="8"/>
          <w:sz w:val="28"/>
          <w:szCs w:val="28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color w:val="000000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8"/>
          <w:szCs w:val="28"/>
          <w:lang w:eastAsia="zh-CN"/>
        </w:rPr>
        <w:t>本制度由浙江省卫生健康委负责解释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spacing w:val="8"/>
          <w:sz w:val="28"/>
          <w:szCs w:val="28"/>
          <w:lang w:eastAsia="zh-CN"/>
        </w:rPr>
        <w:sectPr>
          <w:headerReference r:id="rId4" w:type="default"/>
          <w:headerReference r:id="rId5" w:type="even"/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360" w:lineRule="exact"/>
        <w:rPr>
          <w:rFonts w:ascii="黑体" w:eastAsia="黑体"/>
          <w:sz w:val="36"/>
          <w:szCs w:val="36"/>
        </w:rPr>
        <w:sectPr>
          <w:headerReference r:id="rId8" w:type="first"/>
          <w:headerReference r:id="rId6" w:type="default"/>
          <w:headerReference r:id="rId7" w:type="even"/>
          <w:type w:val="continuous"/>
          <w:pgSz w:w="11906" w:h="16838"/>
          <w:pgMar w:top="1418" w:right="1247" w:bottom="1247" w:left="1247" w:header="851" w:footer="992" w:gutter="0"/>
          <w:pgNumType w:fmt="numberInDash"/>
          <w:cols w:space="720" w:num="1"/>
          <w:titlePg/>
          <w:docGrid w:type="lines" w:linePitch="435" w:charSpace="0"/>
        </w:sectPr>
      </w:pPr>
    </w:p>
    <w:p>
      <w:pPr>
        <w:widowControl/>
        <w:ind w:firstLine="5280" w:firstLineChars="2200"/>
        <w:jc w:val="left"/>
        <w:rPr>
          <w:rFonts w:ascii="黑体" w:eastAsia="黑体"/>
          <w:color w:val="000000"/>
          <w:sz w:val="24"/>
        </w:rPr>
      </w:pPr>
    </w:p>
    <w:p>
      <w:pPr>
        <w:widowControl/>
        <w:ind w:firstLine="5280" w:firstLineChars="2200"/>
        <w:jc w:val="left"/>
        <w:rPr>
          <w:rFonts w:ascii="黑体" w:eastAsia="黑体"/>
          <w:color w:val="000000"/>
          <w:sz w:val="24"/>
        </w:rPr>
      </w:pPr>
    </w:p>
    <w:p>
      <w:pPr>
        <w:widowControl/>
        <w:ind w:firstLine="5280" w:firstLineChars="2200"/>
        <w:jc w:val="left"/>
        <w:rPr>
          <w:rFonts w:ascii="黑体" w:eastAsia="黑体"/>
          <w:color w:val="000000"/>
          <w:sz w:val="24"/>
        </w:rPr>
      </w:pPr>
    </w:p>
    <w:p>
      <w:pPr>
        <w:widowControl/>
        <w:ind w:firstLine="5280" w:firstLineChars="2200"/>
        <w:jc w:val="left"/>
        <w:rPr>
          <w:rFonts w:ascii="黑体" w:eastAsia="黑体"/>
          <w:color w:val="000000"/>
          <w:sz w:val="24"/>
        </w:rPr>
      </w:pPr>
    </w:p>
    <w:p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目录</w:t>
      </w:r>
    </w:p>
    <w:p>
      <w:pPr>
        <w:widowControl/>
        <w:jc w:val="left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right" w:leader="middleDot" w:pos="9030"/>
          <w:tab w:val="right" w:pos="9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一、总说明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right" w:leader="middleDot" w:pos="9030"/>
          <w:tab w:val="right" w:pos="9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二、报表目录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middleDot" w:pos="9030"/>
          <w:tab w:val="right" w:pos="9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</w:rPr>
        <w:t xml:space="preserve">、调查表式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leader="middleDot" w:pos="9030"/>
          <w:tab w:val="right" w:pos="9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</w:pPr>
      <w:r>
        <w:rPr>
          <w:rFonts w:hint="eastAsia" w:asciiTheme="minorEastAsia" w:hAnsiTheme="minorEastAsia" w:eastAsiaTheme="minorEastAsia" w:cstheme="minorEastAsia"/>
          <w:lang w:eastAsia="zh-CN"/>
        </w:rPr>
        <w:t>四、主要指标解释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   </w:t>
      </w: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rPr>
          <w:rFonts w:cs="宋体"/>
          <w:color w:val="000000"/>
        </w:rPr>
      </w:pP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rPr>
          <w:rFonts w:cs="宋体"/>
          <w:color w:val="000000"/>
        </w:rPr>
      </w:pPr>
    </w:p>
    <w:p>
      <w:pPr>
        <w:spacing w:line="480" w:lineRule="auto"/>
        <w:jc w:val="center"/>
        <w:rPr>
          <w:rFonts w:ascii="楷体_GB2312" w:hAnsi="宋体" w:eastAsia="楷体_GB2312"/>
        </w:rPr>
      </w:pPr>
    </w:p>
    <w:p/>
    <w:p>
      <w:pPr>
        <w:snapToGrid w:val="0"/>
        <w:spacing w:line="600" w:lineRule="exact"/>
        <w:jc w:val="center"/>
        <w:outlineLvl w:val="0"/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6" w:h="16838"/>
          <w:pgMar w:top="1701" w:right="1531" w:bottom="170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600" w:lineRule="exact"/>
        <w:jc w:val="right"/>
        <w:outlineLvl w:val="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                          </w:t>
      </w:r>
    </w:p>
    <w:p>
      <w:pPr>
        <w:numPr>
          <w:ilvl w:val="0"/>
          <w:numId w:val="1"/>
        </w:numPr>
        <w:snapToGrid w:val="0"/>
        <w:spacing w:line="600" w:lineRule="exact"/>
        <w:ind w:firstLine="640" w:firstLineChars="200"/>
        <w:jc w:val="center"/>
        <w:outlineLvl w:val="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总说明</w:t>
      </w:r>
    </w:p>
    <w:p>
      <w:pPr>
        <w:numPr>
          <w:ilvl w:val="-1"/>
          <w:numId w:val="0"/>
        </w:numPr>
        <w:snapToGrid w:val="0"/>
        <w:spacing w:line="600" w:lineRule="exact"/>
        <w:ind w:firstLine="0" w:firstLineChars="0"/>
        <w:outlineLvl w:val="0"/>
        <w:rPr>
          <w:rFonts w:hint="eastAsia" w:asci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（一）调查目的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left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根据国务院医改办等七部门《关于全面推开公立医院综合改革工作的通知》（国卫体改发〔2017〕22 号、</w:t>
      </w:r>
      <w:r>
        <w:rPr>
          <w:rFonts w:hint="eastAsia" w:ascii="宋体" w:hAnsi="宋体" w:eastAsia="宋体" w:cs="宋体"/>
          <w:kern w:val="0"/>
          <w:szCs w:val="21"/>
        </w:rPr>
        <w:t>省卫生健康委《关于启用全省公立医院综合改革重点任务台账月报系统的通知》（浙卫办体改发函〔2017〕3号）</w:t>
      </w:r>
      <w:r>
        <w:rPr>
          <w:rFonts w:hint="eastAsia" w:ascii="宋体" w:hAnsi="宋体" w:cs="宋体"/>
          <w:kern w:val="0"/>
          <w:szCs w:val="21"/>
        </w:rPr>
        <w:t>和省卫生健康委、省财政厅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《</w:t>
      </w:r>
      <w:r>
        <w:rPr>
          <w:rFonts w:hint="eastAsia" w:ascii="宋体" w:hAnsi="宋体" w:cs="宋体"/>
          <w:kern w:val="0"/>
          <w:szCs w:val="21"/>
          <w:lang w:eastAsia="zh-CN"/>
        </w:rPr>
        <w:t>浙江省公立医院综合改革目标考核与财政补助资金激励办法（试行）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》（浙卫发〔20</w:t>
      </w:r>
      <w:r>
        <w:rPr>
          <w:rFonts w:hint="eastAsia" w:ascii="宋体" w:hAnsi="宋体" w:cs="宋体"/>
          <w:kern w:val="0"/>
          <w:szCs w:val="21"/>
          <w:lang w:eastAsia="zh-CN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〕</w:t>
      </w:r>
      <w:r>
        <w:rPr>
          <w:rFonts w:hint="eastAsia" w:ascii="宋体" w:hAnsi="宋体" w:cs="宋体"/>
          <w:kern w:val="0"/>
          <w:szCs w:val="21"/>
          <w:lang w:eastAsia="zh-CN"/>
        </w:rPr>
        <w:t>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号）</w:t>
      </w:r>
      <w:r>
        <w:rPr>
          <w:rFonts w:hint="eastAsia" w:ascii="宋体" w:hAnsi="宋体" w:cs="宋体"/>
          <w:kern w:val="0"/>
          <w:szCs w:val="21"/>
        </w:rPr>
        <w:t>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政策要求</w:t>
      </w:r>
      <w:r>
        <w:rPr>
          <w:rFonts w:hint="eastAsia" w:ascii="宋体" w:hAnsi="宋体" w:cs="宋体"/>
          <w:kern w:val="0"/>
          <w:szCs w:val="21"/>
        </w:rPr>
        <w:t>，通过浙江省公立医院综合改革重点工作台账系统每月</w:t>
      </w:r>
      <w:r>
        <w:rPr>
          <w:rFonts w:hint="eastAsia" w:ascii="宋体" w:hAnsi="宋体" w:cs="宋体"/>
          <w:kern w:val="0"/>
          <w:szCs w:val="21"/>
          <w:lang w:eastAsia="zh-CN"/>
        </w:rPr>
        <w:t>线上</w:t>
      </w:r>
      <w:r>
        <w:rPr>
          <w:rFonts w:hint="eastAsia" w:ascii="宋体" w:hAnsi="宋体" w:cs="宋体"/>
          <w:kern w:val="0"/>
          <w:szCs w:val="21"/>
        </w:rPr>
        <w:t>直报，获取医改相关重点指标数据，开展全省公立医院综合改革评价。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（二）</w:t>
      </w:r>
      <w:r>
        <w:rPr>
          <w:rFonts w:hint="eastAsia" w:ascii="宋体" w:hAnsi="宋体" w:cs="宋体"/>
          <w:b/>
          <w:szCs w:val="21"/>
        </w:rPr>
        <w:t>调查对象和范围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浙江省县（市、区）及以上公立医院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</w:t>
      </w:r>
      <w:r>
        <w:rPr>
          <w:rFonts w:hint="eastAsia" w:ascii="宋体" w:hAnsi="宋体" w:cs="宋体"/>
          <w:b/>
          <w:szCs w:val="21"/>
          <w:lang w:eastAsia="zh-CN"/>
        </w:rPr>
        <w:t>三</w:t>
      </w:r>
      <w:r>
        <w:rPr>
          <w:rFonts w:hint="eastAsia" w:ascii="宋体" w:hAnsi="宋体" w:cs="宋体"/>
          <w:b/>
          <w:szCs w:val="21"/>
        </w:rPr>
        <w:t>）调查内容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0" w:firstLineChars="200"/>
        <w:jc w:val="left"/>
        <w:textAlignment w:val="auto"/>
        <w:rPr>
          <w:rFonts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highlight w:val="none"/>
        </w:rPr>
        <w:t>浙江省县（市、区）及以上公立医院医疗总收入、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医疗收入、门急诊收入、医疗支出、药品支出</w:t>
      </w:r>
      <w:r>
        <w:rPr>
          <w:rFonts w:hint="eastAsia" w:ascii="宋体" w:hAnsi="宋体" w:cs="宋体"/>
          <w:kern w:val="0"/>
          <w:szCs w:val="21"/>
          <w:highlight w:val="none"/>
        </w:rPr>
        <w:t>等医改相关指标。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时间要求和调查频率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0" w:firstLineChars="0"/>
        <w:jc w:val="left"/>
        <w:textAlignment w:val="auto"/>
        <w:rPr>
          <w:rFonts w:hint="eastAsia" w:ascii="宋体" w:hAnsi="宋体" w:cs="宋体"/>
          <w:b w:val="0"/>
          <w:kern w:val="0"/>
          <w:szCs w:val="21"/>
          <w:lang w:val="en-US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kern w:val="0"/>
          <w:szCs w:val="21"/>
          <w:lang w:val="en-US" w:eastAsia="zh-CN"/>
        </w:rPr>
        <w:t>每月15日之前完成数据填报。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调查方法</w:t>
      </w:r>
      <w:r>
        <w:rPr>
          <w:rFonts w:hint="eastAsia" w:ascii="宋体" w:hAnsi="宋体" w:cs="宋体"/>
          <w:b/>
          <w:szCs w:val="21"/>
          <w:lang w:eastAsia="zh-CN"/>
        </w:rPr>
        <w:t>、组织方式和渠道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kern w:val="0"/>
          <w:szCs w:val="21"/>
          <w:lang w:val="en-US" w:eastAsia="zh-CN"/>
        </w:rPr>
        <w:t>调查为重点调查。</w:t>
      </w:r>
      <w:r>
        <w:rPr>
          <w:rFonts w:hint="eastAsia" w:ascii="宋体" w:hAnsi="宋体" w:eastAsia="宋体" w:cs="宋体"/>
          <w:kern w:val="0"/>
          <w:szCs w:val="21"/>
        </w:rPr>
        <w:t>由省卫生健康委统一组织实施；各县（市、区）及以上公立医院</w:t>
      </w:r>
      <w:r>
        <w:rPr>
          <w:rFonts w:hint="eastAsia" w:ascii="宋体" w:hAnsi="宋体" w:cs="宋体"/>
          <w:kern w:val="0"/>
          <w:szCs w:val="21"/>
        </w:rPr>
        <w:t>于次月15日（节假日延后）前完成对上月数据的</w:t>
      </w:r>
      <w:r>
        <w:rPr>
          <w:rFonts w:hint="eastAsia" w:ascii="宋体" w:hAnsi="宋体" w:eastAsia="宋体" w:cs="宋体"/>
          <w:kern w:val="0"/>
          <w:szCs w:val="21"/>
        </w:rPr>
        <w:t>填报，县、市卫生行政部门</w:t>
      </w:r>
      <w:r>
        <w:rPr>
          <w:rFonts w:hint="eastAsia" w:ascii="宋体" w:hAnsi="宋体" w:cs="宋体"/>
          <w:kern w:val="0"/>
          <w:szCs w:val="21"/>
        </w:rPr>
        <w:t>于次月19日前完成对下辖公立医院的数据审核</w:t>
      </w:r>
      <w:r>
        <w:rPr>
          <w:rFonts w:hint="eastAsia" w:ascii="宋体" w:hAnsi="宋体" w:eastAsia="宋体" w:cs="宋体"/>
          <w:kern w:val="0"/>
          <w:szCs w:val="21"/>
        </w:rPr>
        <w:t>；省属公立医院由派驻财务总监审核；省级医院管理中心负责调查数据的汇总、数据分析、报告撰写等。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jc w:val="left"/>
        <w:textAlignment w:val="auto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</w:t>
      </w:r>
      <w:r>
        <w:rPr>
          <w:rFonts w:hint="eastAsia" w:ascii="宋体" w:hAnsi="宋体" w:cs="宋体"/>
          <w:b/>
          <w:szCs w:val="21"/>
          <w:lang w:eastAsia="zh-CN"/>
        </w:rPr>
        <w:t>六</w:t>
      </w:r>
      <w:r>
        <w:rPr>
          <w:rFonts w:hint="eastAsia" w:ascii="宋体" w:hAnsi="宋体" w:cs="宋体"/>
          <w:b/>
          <w:szCs w:val="21"/>
        </w:rPr>
        <w:t>）数据发布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kern w:val="0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本调查资料为各级政府制定政策和规划提供依据</w:t>
      </w:r>
      <w:r>
        <w:rPr>
          <w:rFonts w:hint="eastAsia" w:ascii="宋体" w:hAnsi="宋体"/>
          <w:szCs w:val="21"/>
          <w:highlight w:val="none"/>
        </w:rPr>
        <w:t>，由省卫生健康委依据法律相关规定，</w:t>
      </w:r>
      <w:r>
        <w:rPr>
          <w:rFonts w:hint="eastAsia" w:ascii="宋体" w:hAnsi="宋体"/>
          <w:szCs w:val="21"/>
          <w:highlight w:val="none"/>
          <w:lang w:eastAsia="zh-CN"/>
        </w:rPr>
        <w:t>每年</w:t>
      </w:r>
      <w:r>
        <w:rPr>
          <w:rFonts w:hint="eastAsia" w:ascii="宋体" w:hAnsi="宋体"/>
          <w:szCs w:val="21"/>
          <w:highlight w:val="none"/>
          <w:lang w:val="en-US" w:eastAsia="zh-CN"/>
        </w:rPr>
        <w:t>5月</w:t>
      </w:r>
      <w:r>
        <w:rPr>
          <w:rFonts w:hint="eastAsia" w:ascii="宋体" w:hAnsi="宋体"/>
          <w:szCs w:val="21"/>
          <w:highlight w:val="none"/>
        </w:rPr>
        <w:t>以</w:t>
      </w:r>
      <w:r>
        <w:rPr>
          <w:rFonts w:hint="eastAsia" w:ascii="宋体" w:hAnsi="宋体"/>
          <w:szCs w:val="21"/>
          <w:highlight w:val="none"/>
          <w:lang w:eastAsia="zh-CN"/>
        </w:rPr>
        <w:t>年度</w:t>
      </w:r>
      <w:r>
        <w:rPr>
          <w:rFonts w:hint="eastAsia" w:ascii="宋体" w:hAnsi="宋体"/>
          <w:szCs w:val="21"/>
          <w:highlight w:val="none"/>
        </w:rPr>
        <w:t>报告形式进行</w:t>
      </w:r>
      <w:r>
        <w:rPr>
          <w:rFonts w:hint="eastAsia" w:ascii="宋体" w:hAnsi="宋体"/>
          <w:szCs w:val="21"/>
          <w:highlight w:val="none"/>
          <w:lang w:eastAsia="zh-CN"/>
        </w:rPr>
        <w:t>发布，发布对象为各级政府、卫</w:t>
      </w:r>
      <w:r>
        <w:rPr>
          <w:rFonts w:hint="eastAsia" w:ascii="宋体" w:hAnsi="宋体"/>
          <w:szCs w:val="21"/>
          <w:lang w:eastAsia="zh-CN"/>
        </w:rPr>
        <w:t>生行政部门、财政部门。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firstLine="422" w:firstLineChars="200"/>
        <w:jc w:val="left"/>
        <w:textAlignment w:val="auto"/>
        <w:rPr>
          <w:rFonts w:hint="eastAsia" w:ascii="宋体" w:hAnsi="宋体" w:cs="宋体"/>
          <w:b/>
          <w:szCs w:val="21"/>
          <w:lang w:eastAsia="zh-CN"/>
        </w:rPr>
      </w:pPr>
      <w:r>
        <w:rPr>
          <w:rFonts w:hint="eastAsia" w:ascii="宋体" w:hAnsi="宋体" w:cs="宋体"/>
          <w:b/>
          <w:szCs w:val="21"/>
        </w:rPr>
        <w:t>（</w:t>
      </w:r>
      <w:r>
        <w:rPr>
          <w:rFonts w:hint="eastAsia" w:ascii="宋体" w:hAnsi="宋体" w:cs="宋体"/>
          <w:b/>
          <w:szCs w:val="21"/>
          <w:lang w:eastAsia="zh-CN"/>
        </w:rPr>
        <w:t>七</w:t>
      </w:r>
      <w:r>
        <w:rPr>
          <w:rFonts w:hint="eastAsia" w:ascii="宋体" w:hAnsi="宋体" w:cs="宋体"/>
          <w:b/>
          <w:szCs w:val="21"/>
        </w:rPr>
        <w:t>）</w:t>
      </w:r>
      <w:r>
        <w:rPr>
          <w:rFonts w:hint="eastAsia" w:ascii="宋体" w:hAnsi="宋体" w:cs="宋体"/>
          <w:b/>
          <w:szCs w:val="21"/>
          <w:lang w:eastAsia="zh-CN"/>
        </w:rPr>
        <w:t>数据共享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jc w:val="left"/>
        <w:textAlignment w:val="auto"/>
        <w:rPr>
          <w:rFonts w:hint="eastAsia" w:ascii="宋体" w:hAnsi="宋体" w:cs="Times New Roman"/>
          <w:b w:val="0"/>
          <w:szCs w:val="21"/>
          <w:lang w:eastAsia="zh-CN"/>
        </w:rPr>
      </w:pPr>
      <w:r>
        <w:rPr>
          <w:rFonts w:hint="eastAsia" w:ascii="宋体" w:hAnsi="宋体" w:cs="Times New Roman"/>
          <w:b w:val="0"/>
          <w:szCs w:val="21"/>
          <w:lang w:eastAsia="zh-CN"/>
        </w:rPr>
        <w:t>根据相关法律规范要求，在签订协议情况下，统计汇总数据可向省级其他部门提供。</w:t>
      </w:r>
    </w:p>
    <w:p>
      <w:pPr>
        <w:ind w:right="31" w:rightChars="15"/>
        <w:jc w:val="righ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                          </w:t>
      </w:r>
    </w:p>
    <w:p>
      <w:pPr>
        <w:ind w:right="31" w:rightChars="15"/>
        <w:jc w:val="right"/>
        <w:rPr>
          <w:rFonts w:ascii="黑体" w:eastAsia="黑体"/>
          <w:color w:val="000000"/>
          <w:sz w:val="24"/>
        </w:rPr>
      </w:pPr>
    </w:p>
    <w:p>
      <w:pPr>
        <w:ind w:right="31" w:rightChars="15"/>
        <w:jc w:val="right"/>
        <w:rPr>
          <w:rFonts w:ascii="黑体" w:eastAsia="黑体"/>
          <w:color w:val="000000"/>
          <w:sz w:val="24"/>
        </w:rPr>
      </w:pPr>
    </w:p>
    <w:p>
      <w:pPr>
        <w:ind w:right="31" w:rightChars="15"/>
        <w:rPr>
          <w:rFonts w:ascii="黑体" w:eastAsia="黑体"/>
          <w:color w:val="000000"/>
          <w:sz w:val="24"/>
        </w:rPr>
      </w:pPr>
    </w:p>
    <w:p>
      <w:pPr>
        <w:numPr>
          <w:ilvl w:val="-1"/>
          <w:numId w:val="0"/>
        </w:numPr>
        <w:ind w:right="31" w:rightChars="15" w:firstLine="0" w:firstLineChars="0"/>
        <w:rPr>
          <w:rFonts w:hint="eastAsia" w:ascii="黑体" w:eastAsia="黑体"/>
          <w:color w:val="000000"/>
          <w:sz w:val="24"/>
        </w:rPr>
      </w:pPr>
    </w:p>
    <w:p>
      <w:pPr>
        <w:jc w:val="center"/>
        <w:rPr>
          <w:rFonts w:hint="eastAsia" w:eastAsia="黑体"/>
          <w:color w:val="000000"/>
          <w:sz w:val="32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二、报表目录</w:t>
      </w:r>
    </w:p>
    <w:tbl>
      <w:tblPr>
        <w:tblStyle w:val="9"/>
        <w:tblW w:w="90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5"/>
        <w:gridCol w:w="1417"/>
        <w:gridCol w:w="1701"/>
        <w:gridCol w:w="1418"/>
        <w:gridCol w:w="1559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表号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表名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报告期别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填报范围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报送单位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报送日期及方式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19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浙卫医改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1表</w:t>
            </w:r>
          </w:p>
        </w:tc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19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19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公立医院综合改革重点工作指标填报</w:t>
            </w:r>
            <w:r>
              <w:rPr>
                <w:rFonts w:hint="eastAsia" w:ascii="宋体" w:hAnsi="宋体"/>
                <w:color w:val="000000"/>
              </w:rPr>
              <w:t>表</w:t>
            </w:r>
          </w:p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190" w:lineRule="exact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190" w:lineRule="exact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</w:rPr>
              <w:t>报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3"/>
              <w:widowControl w:val="0"/>
              <w:pBdr>
                <w:right w:val="none" w:color="auto" w:sz="0" w:space="0"/>
              </w:pBdr>
              <w:spacing w:before="0" w:beforeAutospacing="0" w:after="0" w:afterAutospacing="0" w:line="190" w:lineRule="exact"/>
              <w:jc w:val="center"/>
              <w:textAlignment w:val="auto"/>
              <w:rPr>
                <w:rFonts w:ascii="宋体" w:hAnsi="宋体"/>
                <w:color w:val="000000"/>
                <w:kern w:val="2"/>
              </w:rPr>
            </w:pPr>
            <w:r>
              <w:rPr>
                <w:rFonts w:hint="eastAsia" w:ascii="宋体" w:hAnsi="宋体"/>
                <w:color w:val="000000"/>
                <w:kern w:val="2"/>
                <w:lang w:eastAsia="zh-CN"/>
              </w:rPr>
              <w:t>公立医院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3"/>
              <w:widowControl w:val="0"/>
              <w:pBdr>
                <w:right w:val="none" w:color="auto" w:sz="0" w:space="0"/>
              </w:pBdr>
              <w:spacing w:before="0" w:beforeAutospacing="0" w:after="0" w:afterAutospacing="0" w:line="190" w:lineRule="exact"/>
              <w:jc w:val="center"/>
              <w:textAlignment w:val="auto"/>
              <w:rPr>
                <w:rFonts w:ascii="宋体" w:hAnsi="宋体"/>
                <w:color w:val="000000"/>
                <w:kern w:val="2"/>
              </w:rPr>
            </w:pPr>
          </w:p>
          <w:p>
            <w:pPr>
              <w:pStyle w:val="13"/>
              <w:widowControl w:val="0"/>
              <w:pBdr>
                <w:right w:val="none" w:color="auto" w:sz="0" w:space="0"/>
              </w:pBdr>
              <w:spacing w:before="0" w:beforeAutospacing="0" w:after="0" w:afterAutospacing="0" w:line="19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2"/>
                <w:lang w:eastAsia="zh-CN"/>
              </w:rPr>
              <w:t>各级公立医院</w:t>
            </w:r>
          </w:p>
          <w:p>
            <w:pPr>
              <w:pStyle w:val="13"/>
              <w:widowControl w:val="0"/>
              <w:pBdr>
                <w:right w:val="none" w:color="auto" w:sz="0" w:space="0"/>
              </w:pBdr>
              <w:spacing w:before="0" w:beforeAutospacing="0" w:after="0" w:afterAutospacing="0" w:line="190" w:lineRule="exact"/>
              <w:jc w:val="both"/>
              <w:textAlignment w:val="auto"/>
              <w:rPr>
                <w:rFonts w:ascii="宋体" w:hAnsi="宋体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19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>
            <w:pPr>
              <w:spacing w:line="190" w:lineRule="exact"/>
              <w:jc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每月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15日之前；线上直报</w:t>
            </w:r>
          </w:p>
          <w:p>
            <w:pPr>
              <w:spacing w:line="190" w:lineRule="exact"/>
              <w:jc w:val="both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190" w:lineRule="exact"/>
              <w:jc w:val="center"/>
              <w:rPr>
                <w:rFonts w:hint="eastAsia" w:asci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</w:t>
            </w:r>
          </w:p>
        </w:tc>
      </w:tr>
    </w:tbl>
    <w:p>
      <w:pPr>
        <w:numPr>
          <w:ilvl w:val="-1"/>
          <w:numId w:val="0"/>
        </w:numPr>
        <w:ind w:right="31" w:rightChars="15" w:firstLine="0" w:firstLineChars="0"/>
        <w:rPr>
          <w:rFonts w:hint="eastAsia" w:ascii="黑体" w:eastAsia="黑体"/>
          <w:color w:val="auto"/>
          <w:sz w:val="24"/>
          <w:highlight w:val="yellow"/>
          <w:lang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</w:p>
    <w:p>
      <w:pPr>
        <w:jc w:val="center"/>
        <w:rPr>
          <w:rFonts w:hint="eastAsia" w:eastAsia="黑体"/>
          <w:color w:val="000000"/>
          <w:sz w:val="32"/>
          <w:lang w:val="en-US" w:eastAsia="zh-CN"/>
        </w:rPr>
      </w:pPr>
      <w:r>
        <w:rPr>
          <w:rFonts w:hint="eastAsia" w:eastAsia="黑体"/>
          <w:color w:val="000000"/>
          <w:sz w:val="32"/>
          <w:lang w:val="en-US" w:eastAsia="zh-CN"/>
        </w:rPr>
        <w:t>三、调查表式：</w:t>
      </w:r>
    </w:p>
    <w:p>
      <w:pPr>
        <w:widowControl/>
        <w:jc w:val="center"/>
        <w:textAlignment w:val="top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基层表</w:t>
      </w:r>
    </w:p>
    <w:p>
      <w:pPr>
        <w:widowControl/>
        <w:jc w:val="center"/>
        <w:textAlignment w:val="top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（一）公立医院综合改革重点工作指标填报表</w:t>
      </w: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</w:t>
      </w:r>
    </w:p>
    <w:tbl>
      <w:tblPr>
        <w:tblStyle w:val="9"/>
        <w:tblW w:w="9190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3373"/>
        <w:gridCol w:w="2338"/>
        <w:gridCol w:w="543"/>
        <w:gridCol w:w="250"/>
        <w:gridCol w:w="816"/>
        <w:gridCol w:w="89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trHeight w:val="1303" w:hRule="atLeast"/>
        </w:trPr>
        <w:tc>
          <w:tcPr>
            <w:tcW w:w="6254" w:type="dxa"/>
            <w:gridSpan w:val="3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统一社会信用代码□□□□□□□□□□□□□□□□□□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尚未领取统一社会信用代码的填写原组织机构代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shd w:val="clear"/>
              </w:rPr>
              <w:t>码□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□□□□□□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shd w:val="clear"/>
              </w:rPr>
              <w:t>□－□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企业详细名称：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20  年  月</w:t>
            </w:r>
          </w:p>
        </w:tc>
        <w:tc>
          <w:tcPr>
            <w:tcW w:w="250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5" w:type="dxa"/>
            <w:gridSpan w:val="2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表    号：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制定机关：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批准机关：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批准文号：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有效期至：</w:t>
            </w:r>
          </w:p>
        </w:tc>
        <w:tc>
          <w:tcPr>
            <w:tcW w:w="1781" w:type="dxa"/>
            <w:vAlign w:val="top"/>
          </w:tcPr>
          <w:p>
            <w:pPr>
              <w:spacing w:line="260" w:lineRule="exact"/>
              <w:jc w:val="distribut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浙卫医改</w:t>
            </w:r>
            <w:r>
              <w:rPr>
                <w:rFonts w:hint="eastAsia" w:ascii="宋体" w:hAnsi="宋体"/>
                <w:color w:val="000000"/>
                <w:sz w:val="18"/>
                <w:lang w:val="en-US" w:eastAsia="zh-CN"/>
              </w:rPr>
              <w:t>1表</w:t>
            </w:r>
          </w:p>
          <w:p>
            <w:pPr>
              <w:spacing w:line="260" w:lineRule="exact"/>
              <w:jc w:val="distribut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卫生健康委</w:t>
            </w:r>
          </w:p>
          <w:p>
            <w:pPr>
              <w:spacing w:line="260" w:lineRule="exact"/>
              <w:jc w:val="distribut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  <w:t>浙江省统计局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浙统制〔202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  <w:p>
            <w:pPr>
              <w:spacing w:line="26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   年 1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cyan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发生时间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年、月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医疗总收入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/>
              <w:jc w:val="center"/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医疗收入（不含药品）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门急诊收入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其中：体检收入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门急诊人次数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ind w:right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体检人次数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出院人次数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出院者占用总床日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其中：中药饮片收入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其中：疫苗收入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检查化验收入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ind w:right="0" w:right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其中：检查收入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360" w:rightChars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卫生材料费用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医（农）保收入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医疗支出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药品支出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年末负债总额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年末资产总额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全年总收入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财政补助收入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业务支出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 w:themeColor="text1"/>
                <w:kern w:val="0"/>
                <w:sz w:val="18"/>
                <w:szCs w:val="18"/>
                <w:highlight w:val="yellow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人员支出</w:t>
            </w:r>
          </w:p>
        </w:tc>
        <w:tc>
          <w:tcPr>
            <w:tcW w:w="2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6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 w:themeColor="text1"/>
                <w:kern w:val="0"/>
                <w:sz w:val="18"/>
                <w:szCs w:val="18"/>
                <w:highlight w:val="yellow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1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单位负责人：       统计负责人：      填报人：        单位负责人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填报说明：1．本表由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    　2．本表统计范围为辖区内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公立医院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3．本报表为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报，报送时间为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每月的15日之前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。报送方式为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线上直报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</w:tbl>
    <w:p>
      <w:pPr>
        <w:numPr>
          <w:ilvl w:val="0"/>
          <w:numId w:val="3"/>
        </w:numPr>
        <w:ind w:right="31" w:rightChars="15" w:firstLine="2560" w:firstLineChars="800"/>
        <w:rPr>
          <w:rFonts w:hint="eastAsia" w:ascii="黑体" w:eastAsia="黑体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  <w:shd w:val="clear" w:color="auto" w:fill="auto"/>
          <w:lang w:eastAsia="zh-CN"/>
        </w:rPr>
        <w:t>主要指标解释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医疗总收入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指医院开展医疗服务活动取得的收入，包括门急诊收入、住院收入和结算差异。根据“收入费用表”中“事业收入-医疗收入”项目本月数填报。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医疗服务收入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用于反映医院收入结构，包括挂号收入、床位收入、诊察收入、治疗收入、手术收入、护理收入等。不包含药品、耗材（即卫生材料）、检查检验收入。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门急诊收入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门诊收入是指医院开展门急诊医疗服务活动取得的收入，包括门诊、急诊、健康体检收入等。根据“医疗活动费用明细表”中“医疗活动收入合计-医疗收入-门急诊收入”项目本月数填列。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住院收入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门诊收入是指医院开展住院医疗服务活动取得的收入。根据“医疗活动费用明细表”中“医疗活动收入合计-医疗收入-住院收入”项目本月数填列。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医疗支出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包含业务活动费用及单位管理费用。根据“收入费用表”中“本期费用-业务活动费用-财政基本拨款经费”、“本期费用-业务活动费用-其他经费”、“本期费用-单位管理费用-财政基本拨款经费”、“本期费用-单位管理费用-其他经费”项目本年累计数相加填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年末负债总额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指医院过去的经济业务或者事项形成的，预期会导致经济资源流出医院的现时义务。根据“资产负债表”中的“负债合计”期末余额填报。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年末资产总额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指医院过去的经济业务或者事项形成的，由医院控制的，预期能够产生服务潜力或者带来经济利益流入的经济资源。根据“资产负债表”中的“资产总计”期末余额填报。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全年总收入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指报告期内可导致净资产增加的、含有服务潜力或者经济利益的经济资源的流入。根据“收入费用表”中的“本期收入”本年累计数填报。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全年总支出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即总费用，是指报告期内导致医院净资产减少的、含有服务潜力或者经济利益的经济资源的流出。根据“收入费用表”中的“本期费用”本年累计数填报。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31" w:rightChars="15"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eastAsia="zh-CN"/>
        </w:rPr>
        <w:t>业务支出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包括业务活动费用（不含财政项目拨款经费和科教经费）、单位管理费用（不含财政项目拨款经费和科教经费）、经营费用、资产处置费用、上缴上级费用、对附属单位补助费用、所得税费用、其他费用。根据“收入费用表”中的“本期费用”本年累计数减去“本期费用-业务活动费-财政项目拨款项目”、“本期费用-业务活动费-科教经费”、“本期费用-单位管理费用-财政项目拨款项目”、“本期费用-单位管理费用-科教经费”本年累计数计算填报。</w:t>
      </w:r>
    </w:p>
    <w:p/>
    <w:sectPr>
      <w:footerReference r:id="rId1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EwwK6sQEA&#10;AFk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</w:pPr>
  </w:p>
  <w:p>
    <w:pPr>
      <w:tabs>
        <w:tab w:val="left" w:pos="1910"/>
        <w:tab w:val="right" w:pos="8306"/>
      </w:tabs>
    </w:pPr>
    <w:r>
      <w:rPr>
        <w:rFonts w:hint="eastAsia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1386205</wp:posOffset>
              </wp:positionH>
              <wp:positionV relativeFrom="paragraph">
                <wp:posOffset>128905</wp:posOffset>
              </wp:positionV>
              <wp:extent cx="2863215" cy="245110"/>
              <wp:effectExtent l="0" t="0" r="13335" b="254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21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杭州市社区治理建设情况问卷调查方案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9.15pt;margin-top:10.15pt;height:19.3pt;width:225.45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T0Ad3XAAAA&#10;CQEAAA8AAAAAAAAAAQAgAAAAIgAAAGRycy9kb3ducmV2LnhtbFBLAQIUABQAAAAIAIdO4kA2L4qI&#10;rAEAADcDAAAOAAAAAAAAAAEAIAAAACYBAABkcnMvZTJvRG9jLnhtbFBLBQYAAAAABgAGAFkBAABE&#10;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 w:ascii="宋体" w:hAnsi="宋体"/>
                        <w:szCs w:val="21"/>
                      </w:rPr>
                      <w:t>杭州市社区治理建设情况问卷调查方案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7"/>
      <w:jc w:val="right"/>
    </w:pPr>
  </w:p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8EF0D"/>
    <w:multiLevelType w:val="singleLevel"/>
    <w:tmpl w:val="B258EF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146B9A"/>
    <w:multiLevelType w:val="singleLevel"/>
    <w:tmpl w:val="11146B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E1FD31"/>
    <w:multiLevelType w:val="singleLevel"/>
    <w:tmpl w:val="16E1FD3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73085"/>
    <w:rsid w:val="00010925"/>
    <w:rsid w:val="0018335A"/>
    <w:rsid w:val="002322E3"/>
    <w:rsid w:val="006816E7"/>
    <w:rsid w:val="00757DD1"/>
    <w:rsid w:val="00CE33C0"/>
    <w:rsid w:val="00D40185"/>
    <w:rsid w:val="00EA34B1"/>
    <w:rsid w:val="01C070A5"/>
    <w:rsid w:val="090C1F79"/>
    <w:rsid w:val="0A024E2F"/>
    <w:rsid w:val="0AC14A66"/>
    <w:rsid w:val="0CCE1C98"/>
    <w:rsid w:val="0E194DB4"/>
    <w:rsid w:val="0F6D1B73"/>
    <w:rsid w:val="0FDE633D"/>
    <w:rsid w:val="10061466"/>
    <w:rsid w:val="10246BCF"/>
    <w:rsid w:val="111A2F84"/>
    <w:rsid w:val="11FF3BE5"/>
    <w:rsid w:val="12100FE0"/>
    <w:rsid w:val="124A587C"/>
    <w:rsid w:val="128F6177"/>
    <w:rsid w:val="1403696A"/>
    <w:rsid w:val="17D432D7"/>
    <w:rsid w:val="18867548"/>
    <w:rsid w:val="18DC3EAC"/>
    <w:rsid w:val="19CE40F3"/>
    <w:rsid w:val="19E92BEE"/>
    <w:rsid w:val="1CDD24A1"/>
    <w:rsid w:val="1DA87CAC"/>
    <w:rsid w:val="1EB5663D"/>
    <w:rsid w:val="20354A53"/>
    <w:rsid w:val="236D0CDB"/>
    <w:rsid w:val="293D599C"/>
    <w:rsid w:val="29B95C54"/>
    <w:rsid w:val="31991CC2"/>
    <w:rsid w:val="33FE420F"/>
    <w:rsid w:val="344D587F"/>
    <w:rsid w:val="369F1ED4"/>
    <w:rsid w:val="39080D38"/>
    <w:rsid w:val="3AF234C1"/>
    <w:rsid w:val="3B657871"/>
    <w:rsid w:val="3C873085"/>
    <w:rsid w:val="3DE510B6"/>
    <w:rsid w:val="42061F03"/>
    <w:rsid w:val="457F70C3"/>
    <w:rsid w:val="45F53DDD"/>
    <w:rsid w:val="471F7C01"/>
    <w:rsid w:val="4CA80E8C"/>
    <w:rsid w:val="51804A52"/>
    <w:rsid w:val="5517418D"/>
    <w:rsid w:val="589B7DB2"/>
    <w:rsid w:val="5952059C"/>
    <w:rsid w:val="5E3C21D0"/>
    <w:rsid w:val="600457E3"/>
    <w:rsid w:val="61462B83"/>
    <w:rsid w:val="62366E0B"/>
    <w:rsid w:val="64BC68FA"/>
    <w:rsid w:val="68CA2C29"/>
    <w:rsid w:val="6A745DEE"/>
    <w:rsid w:val="6BC202EF"/>
    <w:rsid w:val="6D10009D"/>
    <w:rsid w:val="7020649D"/>
    <w:rsid w:val="71014E7E"/>
    <w:rsid w:val="710A05BA"/>
    <w:rsid w:val="723155AB"/>
    <w:rsid w:val="72982181"/>
    <w:rsid w:val="7733412E"/>
    <w:rsid w:val="77B93D88"/>
    <w:rsid w:val="79351D78"/>
    <w:rsid w:val="7CCC45B9"/>
    <w:rsid w:val="7D7B4082"/>
    <w:rsid w:val="7DA41557"/>
    <w:rsid w:val="7DF923D0"/>
    <w:rsid w:val="7EC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文档结构图 Char"/>
    <w:basedOn w:val="8"/>
    <w:link w:val="3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2">
    <w:name w:val="批注框文本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xl28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cs="Century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footer" Target="footer2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844</Words>
  <Characters>4812</Characters>
  <Lines>40</Lines>
  <Paragraphs>11</Paragraphs>
  <TotalTime>3</TotalTime>
  <ScaleCrop>false</ScaleCrop>
  <LinksUpToDate>false</LinksUpToDate>
  <CharactersWithSpaces>5645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2021-04-09T01:04:00Z</dcterms:created>
  <dc:creator>天气不错1396227146</dc:creator>
  <cp:lastModifiedBy>蔡思中(函件撰写人)</cp:lastModifiedBy>
  <cp:lastPrinted>2021-04-25T03:37:00Z</cp:lastPrinted>
  <dcterms:modified xsi:type="dcterms:W3CDTF">2021-06-09T07:09:00Z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  <property fmtid="{D5CDD505-2E9C-101B-9397-08002B2CF9AE}" pid="3" name="ICV">
    <vt:lpwstr>6E576B2D2BDF4C138DEC6A81E3C974C5</vt:lpwstr>
  </property>
</Properties>
</file>